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66DC" w14:textId="48BFA458" w:rsidR="00E80D41" w:rsidRDefault="00603761" w:rsidP="0035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037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FICHE DE POSTE</w:t>
      </w:r>
    </w:p>
    <w:p w14:paraId="64F5885F" w14:textId="16A98844" w:rsidR="00603761" w:rsidRDefault="00603761" w:rsidP="0035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037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Directeur / Directrice des Ressources Humaines et des Affaires Médicales</w:t>
      </w:r>
    </w:p>
    <w:p w14:paraId="3E2BCD2F" w14:textId="77777777" w:rsidR="00383041" w:rsidRDefault="00383041" w:rsidP="0035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B0619C4" w14:textId="6F782F6C" w:rsidR="00383041" w:rsidRPr="00383041" w:rsidRDefault="00383041" w:rsidP="0035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fr-FR"/>
          <w14:ligatures w14:val="none"/>
        </w:rPr>
      </w:pPr>
      <w:r w:rsidRPr="00383041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fr-FR"/>
          <w14:ligatures w14:val="none"/>
        </w:rPr>
        <w:t xml:space="preserve">Coefficient du poste : </w:t>
      </w:r>
      <w:r w:rsidRPr="00383041">
        <w:rPr>
          <w:rFonts w:ascii="Arial" w:hAnsi="Arial" w:cs="Arial"/>
          <w:b/>
          <w:i/>
          <w:iCs/>
        </w:rPr>
        <w:t xml:space="preserve">2,6 (CN) ou 2,7 (HC) + 0,2 au titre de </w:t>
      </w:r>
      <w:r w:rsidR="00DA7B60">
        <w:rPr>
          <w:rFonts w:ascii="Arial" w:hAnsi="Arial" w:cs="Arial"/>
          <w:b/>
          <w:i/>
          <w:iCs/>
        </w:rPr>
        <w:t>la direction commune</w:t>
      </w:r>
    </w:p>
    <w:p w14:paraId="719969BA" w14:textId="77777777" w:rsidR="00356BB6" w:rsidRPr="00603761" w:rsidRDefault="00356BB6" w:rsidP="00356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DE19410" w14:textId="77777777" w:rsidR="00603761" w:rsidRPr="00B606EB" w:rsidRDefault="00603761" w:rsidP="006037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1. </w:t>
      </w: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Présentation générale et synthétique de l’établissement</w:t>
      </w:r>
    </w:p>
    <w:p w14:paraId="01C6C3A2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Centre Hospitalier Léon-Jean Grégory de Thuir est un établissement public de santé spécialisé en psychiatrie et santé mentale, dont le ressort est départemental. Situé à Thuir, il assure la prise en charge des patients sur l’ensemble des Pyrénées-Orientales, grâce à une offre de soins diversifiée et territorialement répartie.</w:t>
      </w:r>
    </w:p>
    <w:p w14:paraId="7FF5A1A5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2676408" w14:textId="2267C394" w:rsid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Une offre de soins structurée et territorialisée</w:t>
      </w:r>
    </w:p>
    <w:p w14:paraId="011E0C8E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3758E02" w14:textId="77777777" w:rsid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L’établissement dispose de :</w:t>
      </w:r>
    </w:p>
    <w:p w14:paraId="5141172A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FD58305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Cinq secteurs de psychiatrie adulte, répartis sur le département.</w:t>
      </w:r>
    </w:p>
    <w:p w14:paraId="4D103BAB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secteurs de pédopsychiatrie, dédiés à la prise en charge des enfants et adolescents.</w:t>
      </w:r>
    </w:p>
    <w:p w14:paraId="02CDFBB2" w14:textId="04BB5FA5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Un service d’urgences psychiatriques, implanté au 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sein du SAU du 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 de Perpignan.</w:t>
      </w:r>
    </w:p>
    <w:p w14:paraId="333D96B5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filière de soins pour adolescents et une équipe TED, spécialisée dans les troubles du spectre autistique (antenne du CRA à Cabestany).</w:t>
      </w:r>
    </w:p>
    <w:p w14:paraId="5CCB7CB0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secteur de psychiatrie en milieu pénitentiaire, à vocation régionale.</w:t>
      </w:r>
    </w:p>
    <w:p w14:paraId="057B621A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unité spécialisée dans la prise en charge des psycho-traumatismes, intégrée au centre psycho-trauma régional, en partenariat avec les CHU de Toulouse et Montpellier.</w:t>
      </w:r>
    </w:p>
    <w:p w14:paraId="696F4414" w14:textId="77777777" w:rsidR="0088397C" w:rsidRPr="0088397C" w:rsidRDefault="0088397C" w:rsidP="003830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dispositif d’addictologie, structuré autour d’un CSAPA et d’un centre de dispensation de méthadone, en coopération avec l’Association Joseph Sauvy et le CAARUD.</w:t>
      </w:r>
    </w:p>
    <w:p w14:paraId="023FD378" w14:textId="77777777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5CC7D21" w14:textId="78D443F4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Une dynamique de proximité et d’accompagnement spécialisé</w:t>
      </w:r>
    </w:p>
    <w:p w14:paraId="4B8AB166" w14:textId="77777777" w:rsidR="0088397C" w:rsidRP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40E958CB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CH de Thuir s’appuie sur un réseau d’équipes mobiles spécialisées, permettant une prise en charge adaptée aux besoins des patients, au plus proche de leur lieu de vie :</w:t>
      </w:r>
    </w:p>
    <w:p w14:paraId="680AB313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3003CAF" w14:textId="77777777" w:rsidR="0088397C" w:rsidRPr="0088397C" w:rsidRDefault="0088397C" w:rsidP="003830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Équipes mobiles d’intervention précoce (ELIOS, EMAP).</w:t>
      </w:r>
    </w:p>
    <w:p w14:paraId="4B24F6B7" w14:textId="7F6F4F5D" w:rsidR="0088397C" w:rsidRPr="0088397C" w:rsidRDefault="0088397C" w:rsidP="003830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Équipe Mobile de Psychiatrie du Sujet Âgé (EM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SA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66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).</w:t>
      </w:r>
    </w:p>
    <w:p w14:paraId="6419AEF5" w14:textId="77777777" w:rsidR="0088397C" w:rsidRPr="0088397C" w:rsidRDefault="0088397C" w:rsidP="003830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Équipe de Soins, de Coordination et d’Accompagnement des Processus Psychotiques Émergents (ESCAPE).</w:t>
      </w:r>
    </w:p>
    <w:p w14:paraId="4859DD19" w14:textId="77777777" w:rsidR="0088397C" w:rsidRPr="0088397C" w:rsidRDefault="0088397C" w:rsidP="003830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Équipe mobile psychiatrie précarité (EMPP) et Permanence d’Accès aux Soins de Santé (PASS).</w:t>
      </w:r>
    </w:p>
    <w:p w14:paraId="3A83D7BB" w14:textId="77777777" w:rsidR="0088397C" w:rsidRPr="0088397C" w:rsidRDefault="0088397C" w:rsidP="0038304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centre de réhabilitation psychosociale, récemment labellisé par l’ARS Occitanie.</w:t>
      </w:r>
    </w:p>
    <w:p w14:paraId="685D999D" w14:textId="77777777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3AD7EA0B" w14:textId="7D84BD42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 établissement engagé dans l’innovation et la coopération</w:t>
      </w:r>
    </w:p>
    <w:p w14:paraId="1580E5B7" w14:textId="77777777" w:rsidR="0088397C" w:rsidRP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083A69B6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CH de Thuir s’appuie sur des structures de pointe, garantissant la qualité et l’efficience des soins :</w:t>
      </w:r>
    </w:p>
    <w:p w14:paraId="54DA0AB5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3F62A0F" w14:textId="77777777" w:rsidR="0088397C" w:rsidRPr="0088397C" w:rsidRDefault="0088397C" w:rsidP="0038304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 laboratoire de biologie médicale certifié COFRAC.</w:t>
      </w:r>
    </w:p>
    <w:p w14:paraId="55B84B1A" w14:textId="77777777" w:rsidR="0088397C" w:rsidRPr="0088397C" w:rsidRDefault="0088397C" w:rsidP="0038304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pharmacie hospitalière intégrée au GCS Pharmacoopé, regroupant 16 établissements partenaires, entièrement robotisée, y compris pour la sérialisation des médicaments.</w:t>
      </w:r>
    </w:p>
    <w:p w14:paraId="786C0E48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9770CA9" w14:textId="78529863" w:rsidR="00466351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Dans une logique de coopération territoriale et de renforcement des soins de premier recours, le CH de Thuir et 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CPTS APCM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(regroupant les professionnels de santé libéraux des territoires de l’Agly, Fenouillèdes et Hautes-Corbières) ont créé le GCS COMEVI-H.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Ce dispositif s’étend désormais sur la quasi-totalité du département des Pyrénées-Orientales.</w:t>
      </w:r>
    </w:p>
    <w:p w14:paraId="41C68398" w14:textId="437C0FCD" w:rsid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>Ce groupement, soutenu par le ministère de la Santé, repose sur deux axes stratégiques :</w:t>
      </w:r>
    </w:p>
    <w:p w14:paraId="651ECC9F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7B3283F" w14:textId="77777777" w:rsidR="0088397C" w:rsidRPr="0088397C" w:rsidRDefault="0088397C" w:rsidP="003830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L’intégration de la psychiatrie au cœur des soins de premier recours.</w:t>
      </w:r>
    </w:p>
    <w:p w14:paraId="2F1BE469" w14:textId="77777777" w:rsidR="0088397C" w:rsidRPr="0088397C" w:rsidRDefault="0088397C" w:rsidP="0038304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renforcement de l’attractivité médicale et la diversification des statuts d’exercice des médecins.</w:t>
      </w:r>
    </w:p>
    <w:p w14:paraId="0B5CF8B1" w14:textId="77777777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60F2D0FA" w14:textId="30ECE6BF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Une organisation en réseau et une gouvernance territoriale</w:t>
      </w:r>
    </w:p>
    <w:p w14:paraId="7B1ECAEA" w14:textId="77777777" w:rsidR="0088397C" w:rsidRP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E4802FA" w14:textId="77777777" w:rsid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L’établissement assure également la direction de deux EHPAD publics autonomes :</w:t>
      </w:r>
    </w:p>
    <w:p w14:paraId="7841E3AC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BA709D7" w14:textId="77777777" w:rsidR="0088397C" w:rsidRPr="0088397C" w:rsidRDefault="0088397C" w:rsidP="003830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EHPAD Simon Violet Père à Thuir.</w:t>
      </w:r>
    </w:p>
    <w:p w14:paraId="2231287E" w14:textId="77777777" w:rsidR="0088397C" w:rsidRPr="0088397C" w:rsidRDefault="0088397C" w:rsidP="003830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Résidence Saint-Jacques à Ille-sur-Têt.</w:t>
      </w:r>
    </w:p>
    <w:p w14:paraId="3B990231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2EB23C4" w14:textId="675B7B60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Membre du GHT Aude-Pyrénées, dont l’établissement support est le CH de Perpignan, le CH de Thuir s’intègre dans une dynamique régionale, aux côtés des CH de Prades, Narbonne, Port-la-Nouvelle et Lézignan-Corbières.</w:t>
      </w:r>
    </w:p>
    <w:p w14:paraId="31F8D1C2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1C806AC" w14:textId="2CC7489E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Projet Médical Partagé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V2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(PMP) du GHT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 été refondu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afin de renforcer la complémentarité des prises en charge et l’efficience des parcours patients.</w:t>
      </w:r>
    </w:p>
    <w:p w14:paraId="0DE2A2AC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E4E0F7D" w14:textId="76F9AC19" w:rsid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 établissement en évolution constante</w:t>
      </w:r>
    </w:p>
    <w:p w14:paraId="46F73BA8" w14:textId="77777777" w:rsidR="0088397C" w:rsidRPr="0088397C" w:rsidRDefault="0088397C" w:rsidP="008839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3B5210C" w14:textId="36ACA4A0" w:rsidR="0088397C" w:rsidRPr="0088397C" w:rsidRDefault="0088397C" w:rsidP="003830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Le Plan Territorial de Santé Mentale (PTSM), 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dont le diagnostic fut 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approuvé en 2019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le projet dans son ensemble en 2021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structure l’organisation des soins psychiatriques et comprend 27 actions opérationnelles, pilotées par le Groupement Territorial Santé Mentale 66.</w:t>
      </w:r>
    </w:p>
    <w:p w14:paraId="06C1C61E" w14:textId="77777777" w:rsidR="0088397C" w:rsidRPr="0088397C" w:rsidRDefault="0088397C" w:rsidP="003830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Une restructuration architecturale majeure a été réalisée, avec l’ouverture en 2021 du pôle santé mentale sur le site du CH de Perpignan, intégrant un service pour adolescents et un service de psychiatrie polyvalente.</w:t>
      </w:r>
    </w:p>
    <w:p w14:paraId="3C000EE4" w14:textId="06A209DE" w:rsidR="0088397C" w:rsidRPr="0088397C" w:rsidRDefault="0088397C" w:rsidP="003830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projets immobiliers restent à mener, notamment pour le regroupement de structures ambulatoires, afin d’adapter l’offre de soins à l’augmentation des files actives et aux évolutions des pratiques en santé mentale.</w:t>
      </w:r>
    </w:p>
    <w:p w14:paraId="60FBF8C4" w14:textId="77777777" w:rsidR="0088397C" w:rsidRPr="0088397C" w:rsidRDefault="0088397C" w:rsidP="0038304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5AEABFB" w14:textId="0E8FC187" w:rsid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Un établissement certifié et reconnu</w:t>
      </w:r>
    </w:p>
    <w:p w14:paraId="76FEA8A8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9086A7D" w14:textId="77777777" w:rsidR="0088397C" w:rsidRPr="0088397C" w:rsidRDefault="0088397C" w:rsidP="008839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CH de Thuir se distingue par son engagement en faveur de la qualité des soins et de la gouvernance hospitalière :</w:t>
      </w:r>
    </w:p>
    <w:p w14:paraId="6B70C6F9" w14:textId="77777777" w:rsidR="0088397C" w:rsidRPr="0088397C" w:rsidRDefault="0088397C" w:rsidP="008839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2EA20FE" w14:textId="5836C008" w:rsidR="0088397C" w:rsidRPr="0088397C" w:rsidRDefault="0088397C" w:rsidP="003830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Premier établissement public de santé labellisé AFNOR pour l’égalité femme-homme, certification renouvelée en 2022.</w:t>
      </w:r>
    </w:p>
    <w:p w14:paraId="6B00731B" w14:textId="75E214DF" w:rsidR="0088397C" w:rsidRPr="0088397C" w:rsidRDefault="0088397C" w:rsidP="003830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Certifié par l’AFNOR comme hébergeur et info-géreur de données de santé.</w:t>
      </w:r>
    </w:p>
    <w:p w14:paraId="0B4CD3EA" w14:textId="41870940" w:rsidR="0088397C" w:rsidRPr="0088397C" w:rsidRDefault="0088397C" w:rsidP="003830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Inspection du Contrôleur Général des Lieux de Privation de Liberté en mars 2022.</w:t>
      </w:r>
    </w:p>
    <w:p w14:paraId="1D6A8137" w14:textId="1F9A8535" w:rsidR="0088397C" w:rsidRPr="0088397C" w:rsidRDefault="0088397C" w:rsidP="003830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Audit de la Chambre Régionale des Comptes au 1er semestre 2022.</w:t>
      </w:r>
    </w:p>
    <w:p w14:paraId="50D70105" w14:textId="3BDB9278" w:rsidR="0088397C" w:rsidRPr="0088397C" w:rsidRDefault="0088397C" w:rsidP="003830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Certification HAS réalisée en octobre 202</w:t>
      </w:r>
      <w:r w:rsidR="003830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 (qualité des soins confirmée) puis en octobre 2024 en raison de l’intégration de l’établissement au GHT Aude-Pyrénées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50637FAE" w14:textId="77777777" w:rsidR="00603761" w:rsidRPr="00B606EB" w:rsidRDefault="00603761" w:rsidP="006037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2. </w:t>
      </w: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Position dans la structure</w:t>
      </w:r>
    </w:p>
    <w:p w14:paraId="142614D9" w14:textId="77777777" w:rsidR="00603761" w:rsidRPr="00B606EB" w:rsidRDefault="00603761" w:rsidP="0060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Liaisons hiérarchiques :</w:t>
      </w:r>
    </w:p>
    <w:p w14:paraId="13FA8C1F" w14:textId="1B29A86F" w:rsidR="00603761" w:rsidRPr="00B606EB" w:rsidRDefault="00603761" w:rsidP="00383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Direct</w:t>
      </w:r>
      <w:r w:rsidR="00E80D41"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rice</w:t>
      </w: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</w:t>
      </w:r>
      <w:r w:rsidR="00E80D41"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 l’</w:t>
      </w: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établissement</w:t>
      </w:r>
    </w:p>
    <w:p w14:paraId="0DDE3916" w14:textId="77777777" w:rsidR="00603761" w:rsidRPr="00B606EB" w:rsidRDefault="00603761" w:rsidP="0060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Liaisons fonctionnelles :</w:t>
      </w:r>
    </w:p>
    <w:p w14:paraId="2140C0D5" w14:textId="3A19E043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Président de la CME</w:t>
      </w:r>
    </w:p>
    <w:p w14:paraId="4C327BED" w14:textId="77777777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Chefs de pôles et chefs de services</w:t>
      </w:r>
    </w:p>
    <w:p w14:paraId="47C9170D" w14:textId="77777777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Direction des soins</w:t>
      </w:r>
    </w:p>
    <w:p w14:paraId="08863367" w14:textId="77777777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Directions fonctionnelles</w:t>
      </w:r>
    </w:p>
    <w:p w14:paraId="1F6EBC8E" w14:textId="77777777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lastRenderedPageBreak/>
        <w:t>Encadrement médical, soignant, administratif et technique</w:t>
      </w:r>
    </w:p>
    <w:p w14:paraId="764447A8" w14:textId="77777777" w:rsidR="00603761" w:rsidRPr="00B606EB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Organisations syndicales</w:t>
      </w:r>
    </w:p>
    <w:p w14:paraId="06D31F78" w14:textId="51226482" w:rsidR="00E80D41" w:rsidRDefault="00603761" w:rsidP="00383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Partenaires du </w:t>
      </w:r>
      <w:r w:rsidR="00CF02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PTSM et du </w:t>
      </w:r>
      <w:r w:rsidRPr="00B606E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GHT </w:t>
      </w:r>
    </w:p>
    <w:p w14:paraId="699F6046" w14:textId="77777777" w:rsidR="00603761" w:rsidRPr="00B606EB" w:rsidRDefault="00603761" w:rsidP="006037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3. </w:t>
      </w: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Missions générales, permanentes et spécifiques</w:t>
      </w:r>
    </w:p>
    <w:p w14:paraId="693BCD83" w14:textId="03811129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/la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Directeur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(-rice)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des Ressources Humaines et des Affaires Médicales (DRHAM) occupe une fonction stratégique et transversale au sein de l’établissement. Placé sous l’autorité de la directrice générale, 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est garant de la gestion des ressources humaines médicales et non médicales, en lien étroit avec les instances représentatives, les organisations syndicales et les structures de gouvernance interne et territoriale.</w:t>
      </w:r>
    </w:p>
    <w:p w14:paraId="50337D75" w14:textId="77777777" w:rsidR="0088397C" w:rsidRPr="000F2EE1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Sa mission principale consiste à </w:t>
      </w:r>
      <w:r w:rsidRPr="000F2EE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concevoir, piloter et mettre en œuvre la politique de gestion des ressources humaines et médicales</w:t>
      </w: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veillant à :</w:t>
      </w:r>
    </w:p>
    <w:p w14:paraId="7DF668C8" w14:textId="77777777" w:rsidR="0088397C" w:rsidRPr="000F2EE1" w:rsidRDefault="0088397C" w:rsidP="0038304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L’efficience des effectifs et la régulation des emplois.</w:t>
      </w:r>
    </w:p>
    <w:p w14:paraId="595B56B6" w14:textId="77777777" w:rsidR="0088397C" w:rsidRPr="000F2EE1" w:rsidRDefault="0088397C" w:rsidP="0038304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L’amélioration de la qualité de vie au travail (QVCT) et des conditions d’exercice.</w:t>
      </w:r>
    </w:p>
    <w:p w14:paraId="29696E17" w14:textId="77777777" w:rsidR="0088397C" w:rsidRPr="000F2EE1" w:rsidRDefault="0088397C" w:rsidP="0038304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L’attractivité et la fidélisation des professionnels.</w:t>
      </w:r>
    </w:p>
    <w:p w14:paraId="36481998" w14:textId="0053C998" w:rsidR="0088397C" w:rsidRPr="000F2EE1" w:rsidRDefault="0088397C" w:rsidP="00383041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respect des réglementations et des statuts hospitaliers.</w:t>
      </w:r>
    </w:p>
    <w:p w14:paraId="070AB17E" w14:textId="4E187065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contribue à la structuration et à la transformation de l’offre de soins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s’appuyant sur :</w:t>
      </w:r>
    </w:p>
    <w:p w14:paraId="4047D703" w14:textId="77777777" w:rsidR="0088397C" w:rsidRPr="0088397C" w:rsidRDefault="0088397C" w:rsidP="003830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gestion prévisionnelle des emplois et des compétences (GPEC).</w:t>
      </w:r>
    </w:p>
    <w:p w14:paraId="1F105653" w14:textId="77777777" w:rsidR="0088397C" w:rsidRPr="0088397C" w:rsidRDefault="0088397C" w:rsidP="003830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dialogue social et la concertation avec les instances.</w:t>
      </w:r>
    </w:p>
    <w:p w14:paraId="50CC6586" w14:textId="77777777" w:rsidR="0088397C" w:rsidRPr="0088397C" w:rsidRDefault="0088397C" w:rsidP="003830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formation continue et l’accompagnement des parcours professionnels.</w:t>
      </w:r>
    </w:p>
    <w:p w14:paraId="0CCD939A" w14:textId="1CA1AF2F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/la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DRHAM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travaille en étroite collaboration avec le président de la CME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afin d’assurer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la gestion des personnels médicaux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de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mettre en œuvre les projets médicaux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en cohérence avec le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projet médical d’établissement et le projet médical partagé du GHT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45A4364A" w14:textId="4EC8D9C7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est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garant de l’administration et de la régulation des personnels médicaux et hospitaliers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en veillant à une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articulation fluide avec la direction des soins, les chefs de pôles et les cadres supérieurs de pôle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47C38954" w14:textId="19674256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/elle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anime et encadre les équipes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 charge de la gestion des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ressources humaines et des affaires médicales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en assurant la coordination entre les différents acteurs.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Force de proposition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accompagne la direction générale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dans l’évolution des organisations et du cadre managérial de l’hôpital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3782A31" w14:textId="0BEED1EE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veille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à l’application des règles statutaires et réglementaires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relatives aux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ressources humaines et aux personnels médicaux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et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participe activement aux projets de coopération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 sein du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PTSM et du GHT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6583FE9D" w14:textId="33428E14" w:rsidR="0088397C" w:rsidRPr="0088397C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 complément de ses responsabilités RH et médicales, le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/la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DRHAM est également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directeur référent </w:t>
      </w:r>
      <w:r w:rsidR="003830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d’un pôle d’activités médicales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61471B59" w14:textId="55F14767" w:rsidR="0088397C" w:rsidRPr="000F2EE1" w:rsidRDefault="0088397C" w:rsidP="0088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ssure</w:t>
      </w: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également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88397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l’encadrement hiérarchique des psychologues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par délégation de la directrice générale</w:t>
      </w: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s</w:t>
      </w:r>
      <w:r w:rsidRPr="0088397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upervise plusieurs services sous sa responsabilité :</w:t>
      </w:r>
    </w:p>
    <w:p w14:paraId="5CD30E0E" w14:textId="77777777" w:rsidR="0088397C" w:rsidRPr="000F2EE1" w:rsidRDefault="0088397C" w:rsidP="00383041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La crèche hospitalière.</w:t>
      </w:r>
    </w:p>
    <w:p w14:paraId="1601AF60" w14:textId="77777777" w:rsidR="0088397C" w:rsidRPr="000F2EE1" w:rsidRDefault="0088397C" w:rsidP="00383041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service social du personnel.</w:t>
      </w:r>
    </w:p>
    <w:p w14:paraId="300614B2" w14:textId="77777777" w:rsidR="0088397C" w:rsidRPr="000F2EE1" w:rsidRDefault="0088397C" w:rsidP="00383041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service social des patients.</w:t>
      </w:r>
    </w:p>
    <w:p w14:paraId="0C6274CD" w14:textId="0063D8EE" w:rsidR="0088397C" w:rsidRPr="000F2EE1" w:rsidRDefault="0088397C" w:rsidP="00383041">
      <w:pPr>
        <w:pStyle w:val="Paragraphedeliste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F2EE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service de santé au travail.</w:t>
      </w:r>
    </w:p>
    <w:p w14:paraId="16BF46EF" w14:textId="50D7258F" w:rsidR="00A84B54" w:rsidRPr="00653DF2" w:rsidRDefault="00383041" w:rsidP="0038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br w:type="page"/>
      </w:r>
      <w:r w:rsidR="00DC28F3"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3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.1 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Missions transversales</w:t>
      </w:r>
    </w:p>
    <w:p w14:paraId="4B788BBD" w14:textId="589C7101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Appui stratégique à la direction générale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apportant conseil et expertise dans la définition des orientations RH et médicales.</w:t>
      </w:r>
    </w:p>
    <w:p w14:paraId="6A95AF18" w14:textId="565EAD71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Élaboration et mise en œuvre de la stratégie RH et médicale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cohérence avec le projet d’établissement, le projet médical et les lignes directrices de gestion.</w:t>
      </w:r>
    </w:p>
    <w:p w14:paraId="0B6B18F8" w14:textId="3BF29744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du dialogue social et des concertations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l’animation des instances représentatives du personnel médical et non médical.</w:t>
      </w:r>
    </w:p>
    <w:p w14:paraId="26A98F21" w14:textId="79B491EC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Développement et animation de la politique managériale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accompagnant les équipes dans l’évolution des pratiques de management.</w:t>
      </w:r>
    </w:p>
    <w:p w14:paraId="51E49ED5" w14:textId="613466B9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Conception et mise en œuvre de projets RH et organisationnels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intégrant l’attractivité et la fidélisation des professionnels, ainsi que l’accompagnement social des transformations.</w:t>
      </w:r>
    </w:p>
    <w:p w14:paraId="4AAE33E9" w14:textId="01721AA4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Modernisation et simplification des processus RH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optimisant les outils de gestion (digitalisation, automatisation, simplification administrative).</w:t>
      </w:r>
    </w:p>
    <w:p w14:paraId="180A4604" w14:textId="7BCF84F4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Supervision et contrôle de la gestion des effectifs et de la masse salariale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la direction des finances, afin d’assurer un équilibre entre besoins en personnel et soutenabilité budgétaire.</w:t>
      </w:r>
    </w:p>
    <w:p w14:paraId="5D2CCF28" w14:textId="14EE4235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Développement et pilotage de la politique de qualité de vie et des conditions de travail (QVCT)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 focus sur la prévention des risques psychosociaux et l’amélioration des conditions de travail.</w:t>
      </w:r>
    </w:p>
    <w:p w14:paraId="1B142B38" w14:textId="49DCDC0D" w:rsidR="009668F9" w:rsidRPr="009668F9" w:rsidRDefault="009668F9" w:rsidP="0038304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Participation à la gouvernance hospitalière et représentation de l’établissement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auprès des partenaires institutionnels et du GHT Aude-Pyrénées.</w:t>
      </w:r>
    </w:p>
    <w:p w14:paraId="23925F91" w14:textId="20809C3B" w:rsidR="0073012A" w:rsidRPr="0088397C" w:rsidRDefault="009668F9" w:rsidP="00383041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9668F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Encadrement et animation des équipes des ressources humaines et des affaires médicales</w:t>
      </w:r>
      <w:r w:rsidRPr="009668F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favorisant la montée en compétences et l’évolution professionnelle des collaborateurs.</w:t>
      </w:r>
    </w:p>
    <w:p w14:paraId="2363BEEB" w14:textId="2A8F6059" w:rsidR="00A84B54" w:rsidRPr="00653DF2" w:rsidRDefault="00DC28F3" w:rsidP="00A84B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.2 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Missions en lien avec la gestion des ressources humaines non médicales</w:t>
      </w:r>
    </w:p>
    <w:p w14:paraId="650AE512" w14:textId="17110AA3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de la gestion des carrières et des effectifs des personnels non médicaux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veillant à l’adéquation entre les besoins de l’établissement et les évolutions statutaires.</w:t>
      </w:r>
    </w:p>
    <w:p w14:paraId="6E02D102" w14:textId="4EF66848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Définition et mise en œuvre de la GPEC (Gestion Prévisionnelle des Emplois et des Compétences)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incluant le pilotage des mobilités et des parcours professionnels, en lien avec les pôles et les directions fonctionnelles.</w:t>
      </w:r>
    </w:p>
    <w:p w14:paraId="7D192206" w14:textId="3F97F04D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Déploiement de la politique de Qualité de Vie et des Conditions de Travail (QVCT)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intégrant des actions de prévention et d’amélioration des conditions d’exercice.</w:t>
      </w:r>
    </w:p>
    <w:p w14:paraId="483B3A63" w14:textId="479FA7DE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Coordination des plans de prévention des risques professionnels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à l’échelle institutionnelle et polaire, en collaboration avec les services dédiés.</w:t>
      </w:r>
    </w:p>
    <w:p w14:paraId="233BCBB2" w14:textId="7DCCBC94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Développement et mise en œuvre de la politique de formation continue et d’accompagnement des parcours professionnels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cohérence avec les orientations nationales et les objectifs institutionnels.</w:t>
      </w:r>
    </w:p>
    <w:p w14:paraId="48023C70" w14:textId="5F39C22C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Supervision des dispositifs sociaux, de la santé au travail et des actions de prévention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 service de médecine du travail et les instances et commissions dédiées (F3SCT, Commission de maintien dans l’emploi, Cellule de veille, crèche</w:t>
      </w:r>
      <w:r w:rsidR="00381D7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service social du personnel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).</w:t>
      </w:r>
    </w:p>
    <w:p w14:paraId="18D56730" w14:textId="10429880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Organisation et animation des instances représentatives (CSE, F3SCT, Commission de Formation institutionnelle)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garantissant la préparation des dossiers et le suivi des décisions.</w:t>
      </w:r>
    </w:p>
    <w:p w14:paraId="4DE44F63" w14:textId="11745E5B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Présidence de certaines instances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selon les délégations de la direction générale.</w:t>
      </w:r>
    </w:p>
    <w:p w14:paraId="4AC67696" w14:textId="5206C57F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Appui technique et juridique aux pôles, pour l’élaboration et la présentation des projets en instance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la réglementation en vigueur.</w:t>
      </w:r>
    </w:p>
    <w:p w14:paraId="3AC0285E" w14:textId="247B4328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du dialogue social avec les représentants du personnel non médical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favorisant la concertation et en assurant la gestion des instances.</w:t>
      </w:r>
    </w:p>
    <w:p w14:paraId="78D969BF" w14:textId="4B67A43B" w:rsidR="00840640" w:rsidRPr="00840640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Gestion des contentieux RH et accompagnement juridique des décisions RH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en lien avec </w:t>
      </w:r>
      <w:r w:rsid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service juridique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18CF7EE5" w14:textId="6C389441" w:rsidR="00A84B54" w:rsidRPr="00150502" w:rsidRDefault="00840640" w:rsidP="003830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Développement et structuration du Centre de formation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afin d’optimiser l’offre pédagogique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de valoriser l’expertise des professionnels et renforcer le rayonnement du Centre Hospitalier de Thuir.</w:t>
      </w:r>
      <w:r w:rsidRPr="0084064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15875DDA" w14:textId="77777777" w:rsidR="00150502" w:rsidRPr="000F2EE1" w:rsidRDefault="00150502" w:rsidP="000F2E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2EB079B" w14:textId="77777777" w:rsidR="00150502" w:rsidRPr="00840640" w:rsidRDefault="00150502" w:rsidP="00150502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695F447" w14:textId="77777777" w:rsidR="00383041" w:rsidRDefault="00383041" w:rsidP="00A84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0D58474D" w14:textId="77777777" w:rsidR="00383041" w:rsidRDefault="00383041" w:rsidP="00A84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2CB1EA12" w14:textId="77777777" w:rsidR="00383041" w:rsidRDefault="00383041" w:rsidP="00A84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6B43CEC9" w14:textId="0EB40F0C" w:rsidR="00A84B54" w:rsidRPr="00653DF2" w:rsidRDefault="00DC28F3" w:rsidP="00A84B5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3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.3 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Missions en lien avec les affaires médicales</w:t>
      </w:r>
    </w:p>
    <w:p w14:paraId="592C9E2C" w14:textId="77777777" w:rsidR="00726379" w:rsidRDefault="00726379" w:rsidP="00726379">
      <w:pPr>
        <w:spacing w:after="0" w:line="240" w:lineRule="auto"/>
        <w:rPr>
          <w:rFonts w:ascii="Times New Roman" w:eastAsia="Times New Roman" w:hAnsi="Symbol" w:cs="Times New Roman"/>
          <w:kern w:val="0"/>
          <w:sz w:val="24"/>
          <w:szCs w:val="24"/>
          <w:lang w:eastAsia="fr-FR"/>
          <w14:ligatures w14:val="none"/>
        </w:rPr>
      </w:pPr>
    </w:p>
    <w:p w14:paraId="724B61A4" w14:textId="4745BB3B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Gestion réglementaire et statutaire des carrières médicales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 CNG et les évolutions des statuts hospitaliers.</w:t>
      </w:r>
    </w:p>
    <w:p w14:paraId="50EDCFA8" w14:textId="4E0CE6DE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des effectifs médicaux et du recrutement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coordination avec la CME, les chefs de pôle et la cellule médicale de recrutement.</w:t>
      </w:r>
    </w:p>
    <w:p w14:paraId="4E443C44" w14:textId="5707CE0D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Soutien administratif à la cellule de recrutement médical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facilitant la contractualisation et l’intégration des nouveaux praticiens.</w:t>
      </w:r>
    </w:p>
    <w:p w14:paraId="2AC8ED8C" w14:textId="4BBFF1F8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 des parcours professionnels des praticiens hospitaliers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 suivi des carrières, des évolutions statutaires et des dispositifs de formation.</w:t>
      </w:r>
    </w:p>
    <w:p w14:paraId="794DDC76" w14:textId="0F043C7A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Élaboration, mise en œuvre et évaluation d’une politique d’attractivité et de fidélisation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intégrant le recrutement médical et l’accompagnement des PADHUE dans leurs parcours de consolidation des compétences.</w:t>
      </w:r>
    </w:p>
    <w:p w14:paraId="3B0F9B72" w14:textId="0B2DF5F8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Définition et mise en œuvre du projet social médical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cohérence avec les orientations stratégiques de l’établissement.</w:t>
      </w:r>
    </w:p>
    <w:p w14:paraId="60CB3290" w14:textId="4016A877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Animation et suivi des instances médicales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collaboration avec le président de la CME (CME, COPS, commissions thématiques).</w:t>
      </w:r>
    </w:p>
    <w:p w14:paraId="6E5FA975" w14:textId="42CA7C99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Gestion de la permanence des soins et suivi des obligations de service des praticiens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la COPS et les exigences réglementaires.</w:t>
      </w:r>
    </w:p>
    <w:p w14:paraId="66F4E3F7" w14:textId="6977DA28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du volet financier des rémunérations médicales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une gestion budgétaire rigoureuse de la masse salariale médicale et des financements ARS dédiés.</w:t>
      </w:r>
    </w:p>
    <w:p w14:paraId="5BDA5B50" w14:textId="01F7E451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Gestion des contentieux médicaux et supervision des procédures disciplinaires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en lien avec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le service juridique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le CNG.</w:t>
      </w:r>
    </w:p>
    <w:p w14:paraId="62EDEB12" w14:textId="6B8BA541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Coordination du dispositif de permanence des soins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 PCME et/ou son représentant, afin d’assurer une continuité des prises en charge.</w:t>
      </w:r>
    </w:p>
    <w:p w14:paraId="5C5FF7AA" w14:textId="588D2763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Développement et consolidation des partenariats territoriaux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les établissements de santé, les professionnels libéraux, les réseaux et les associations.</w:t>
      </w:r>
    </w:p>
    <w:p w14:paraId="68AD24B3" w14:textId="0DD08564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Mise en œuvre et suivi du projet social des personnels médicaux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favorisant un cadre de travail attractif et pérenne.</w:t>
      </w:r>
    </w:p>
    <w:p w14:paraId="5565CF1A" w14:textId="3D44BBFF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Élaboration et suivi du budget du personnel médical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les objectifs financiers de l’établissement.</w:t>
      </w:r>
    </w:p>
    <w:p w14:paraId="3DC6FDC0" w14:textId="0FCE3D53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Production et exploitation de données médico-administratives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pour l’élaboration de tableaux de bord d’activité et le suivi des effectifs médicaux.</w:t>
      </w:r>
    </w:p>
    <w:p w14:paraId="16017868" w14:textId="541C4924" w:rsidR="00726379" w:rsidRPr="0072637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Supervision de la mise en œuvre opérationnelle du projet médical de l’établissement et du GHT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veillant à l’alignement des actions avec les objectifs institutionnels.</w:t>
      </w:r>
    </w:p>
    <w:p w14:paraId="332537E8" w14:textId="4813BF11" w:rsidR="000D63D0" w:rsidRPr="009668F9" w:rsidRDefault="00726379" w:rsidP="0038304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37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Appui au PCME dans l’élaboration des filières de soins</w:t>
      </w:r>
      <w:r w:rsidRPr="0072637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dans le cadre du projet médical partagé du GHT.</w:t>
      </w:r>
    </w:p>
    <w:p w14:paraId="7DBEF854" w14:textId="7BF070FC" w:rsidR="00A84B54" w:rsidRPr="00B606EB" w:rsidRDefault="00DC28F3" w:rsidP="00A84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</w:t>
      </w:r>
      <w:r w:rsidR="00A84B54"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.4 </w:t>
      </w:r>
      <w:r w:rsidR="00A84B54" w:rsidRPr="002A2B8B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 xml:space="preserve">Missions de directeur référent </w:t>
      </w:r>
      <w:r w:rsidR="00383041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d’un pôle d’activités médicales</w:t>
      </w:r>
    </w:p>
    <w:p w14:paraId="7164F2EE" w14:textId="3B7247FA" w:rsidR="00166D44" w:rsidRPr="00166D44" w:rsidRDefault="00166D44" w:rsidP="003830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Appui stratégique au binôme de pôle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l’accompagnant dans la définition, la mise en œuvre et le déploiement de la stratégie du pôle.</w:t>
      </w:r>
    </w:p>
    <w:p w14:paraId="48C88F6B" w14:textId="24E28733" w:rsidR="00166D44" w:rsidRPr="00166D44" w:rsidRDefault="00166D44" w:rsidP="003830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Collaboration étroite avec le binôme de pôle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concevoir et mettre en œuvre des initiatives visant à adapter l’offre de soins aux besoins des patients et aux évolutions du territoire.</w:t>
      </w:r>
    </w:p>
    <w:p w14:paraId="5132D88F" w14:textId="3645FEA3" w:rsidR="00166D44" w:rsidRPr="00166D44" w:rsidRDefault="00166D44" w:rsidP="003830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Coordination entre le pôle et les directions fonctionnelles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facilitant la communication et la circulation des informations pour assurer une gestion fluide des projets et des ressources.</w:t>
      </w:r>
    </w:p>
    <w:p w14:paraId="26AAB3E0" w14:textId="71D0D2A6" w:rsidR="00166D44" w:rsidRPr="00166D44" w:rsidRDefault="00166D44" w:rsidP="003830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Soutien à la gestion des projets spécifiques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depuis leur conception jusqu’à leur mise en œuvre opérationnelle, en veillant à leur alignement avec les objectifs institutionnels.</w:t>
      </w:r>
    </w:p>
    <w:p w14:paraId="7DC36E9D" w14:textId="765AF0D1" w:rsidR="00166D44" w:rsidRPr="00166D44" w:rsidRDefault="00166D44" w:rsidP="0038304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Suivi de la réalisation des projets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 contrôle des délais, du respect des budgets alloués et des objectifs de performance.</w:t>
      </w:r>
    </w:p>
    <w:p w14:paraId="50371D4C" w14:textId="2B04FD30" w:rsidR="00150502" w:rsidRPr="000F2EE1" w:rsidRDefault="00166D44" w:rsidP="00383041">
      <w:pPr>
        <w:pStyle w:val="Paragraphedeliste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Apport d’expertise et conseil en gestion de projet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notamment en matière de planification, de budgétisation et de gestion des risques.</w:t>
      </w:r>
    </w:p>
    <w:p w14:paraId="434FCFB1" w14:textId="77777777" w:rsidR="00383041" w:rsidRDefault="00383041" w:rsidP="00A84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1B7DB36A" w14:textId="2DD5D188" w:rsidR="00A84B54" w:rsidRPr="00653DF2" w:rsidRDefault="00F74586" w:rsidP="00A84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3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  <w:r w:rsidR="00A84B54" w:rsidRPr="00B606EB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5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="00A84B54" w:rsidRPr="00653DF2">
        <w:rPr>
          <w:rFonts w:ascii="Times New Roman" w:eastAsia="Times New Roman" w:hAnsi="Times New Roman" w:cs="Times New Roman"/>
          <w:b/>
          <w:bCs/>
          <w:kern w:val="0"/>
          <w:u w:val="single"/>
          <w:lang w:eastAsia="fr-FR"/>
          <w14:ligatures w14:val="none"/>
        </w:rPr>
        <w:t>Missions spécifiques du poste</w:t>
      </w:r>
    </w:p>
    <w:p w14:paraId="72B7EF88" w14:textId="63FD2B20" w:rsidR="00166D44" w:rsidRPr="00166D44" w:rsidRDefault="00166D44" w:rsidP="00166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 complément de ses missions en ressources humaines et affaires médicales, le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/la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DRHAM assure la </w:t>
      </w: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supervision directe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des services suivants :</w:t>
      </w:r>
    </w:p>
    <w:p w14:paraId="156D3C67" w14:textId="77777777" w:rsidR="00166D44" w:rsidRPr="00166D44" w:rsidRDefault="00166D44" w:rsidP="00383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service de santé au travail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garantissant la prévention des risques professionnels et le suivi médical des agents.</w:t>
      </w:r>
    </w:p>
    <w:p w14:paraId="1AB308F9" w14:textId="77777777" w:rsidR="00166D44" w:rsidRPr="00166D44" w:rsidRDefault="00166D44" w:rsidP="00383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La crèche hospitalière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veillant à son bon fonctionnement et à son adaptation aux besoins des personnels.</w:t>
      </w:r>
    </w:p>
    <w:p w14:paraId="616BEBDB" w14:textId="77777777" w:rsidR="00166D44" w:rsidRPr="00166D44" w:rsidRDefault="00166D44" w:rsidP="00383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service social du personnel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chargé d’accompagner les agents en difficulté et de mettre en œuvre des actions de soutien social.</w:t>
      </w:r>
    </w:p>
    <w:p w14:paraId="044421A1" w14:textId="77777777" w:rsidR="00166D44" w:rsidRPr="00166D44" w:rsidRDefault="00166D44" w:rsidP="0038304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service social des patients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contribuant à l’accompagnement médico-social et à l’orientation des usagers dans leur parcours de soins.</w:t>
      </w:r>
    </w:p>
    <w:p w14:paraId="44CAD4A3" w14:textId="57C20C95" w:rsidR="00166D44" w:rsidRPr="00166D44" w:rsidRDefault="00166D44" w:rsidP="00166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Par délégation de la </w:t>
      </w: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cheffe d’établissement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il</w:t>
      </w:r>
      <w:r w:rsidR="00E10B5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/elle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assure également </w:t>
      </w: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l’encadrement des psychologues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veillant à leur intégration dans les projets institutionnels et à l’évolution de leurs pratiques professionnelles.</w:t>
      </w:r>
    </w:p>
    <w:p w14:paraId="344C3F11" w14:textId="77777777" w:rsidR="00166D44" w:rsidRPr="00166D44" w:rsidRDefault="00166D44" w:rsidP="00166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Enfin, des </w:t>
      </w:r>
      <w:r w:rsidRPr="00166D4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missions transversales de conduite de projet</w:t>
      </w:r>
      <w:r w:rsidRPr="00166D4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pourront lui être confiées, en fonction des besoins stratégiques de l’établissement et des priorités définies par la direction.</w:t>
      </w:r>
    </w:p>
    <w:p w14:paraId="760BD7C2" w14:textId="0D596DFF" w:rsidR="00603761" w:rsidRPr="00B606EB" w:rsidRDefault="00603761" w:rsidP="006037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606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4. </w:t>
      </w:r>
      <w:r w:rsidR="009D5CD3" w:rsidRPr="00653D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Principaux projets à mener dans le périmètre du poste</w:t>
      </w:r>
    </w:p>
    <w:p w14:paraId="79C436C4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Déploiement du projet "Marque Employeur"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la mise en œuvre d’un plan d’action dédié à l’attractivité et à la fidélisation des professionnels.</w:t>
      </w:r>
    </w:p>
    <w:p w14:paraId="7776051F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Optimisation du recrutement médical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par la structuration d’une stratégie spécifique d’attractivité et de consolidation des parcours professionnels.</w:t>
      </w:r>
    </w:p>
    <w:p w14:paraId="05AF6349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Déploiement du projet de gouvernance et de management participatif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favorisant une meilleure articulation entre les niveaux décisionnels et opérationnels.</w:t>
      </w:r>
    </w:p>
    <w:p w14:paraId="3480A616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Contractualisation avec les pôles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dans le cadre du projet de gouvernance et de management participatif, en renforçant la délégation de gestion et les outils de pilotage.</w:t>
      </w:r>
    </w:p>
    <w:p w14:paraId="4670672B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Pilotage de l’évolution des cycles de travail en 8h45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concertation avec les professionnels et les instances représentatives.</w:t>
      </w:r>
    </w:p>
    <w:p w14:paraId="6132B9E8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Déploiement d’un nouveau dispositif de qualité de vie au travail (QVCT)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intégrant une approche renforcée de la prévention des risques (mise à jour du DUERP).</w:t>
      </w:r>
    </w:p>
    <w:p w14:paraId="7212D896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Modernisation des outils RH et digitalisation des processus administratifs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 renforcement du contrôle de gestion sociale (projet SIH de tableaux de bord décisionnels via Qlik Sense).</w:t>
      </w:r>
    </w:p>
    <w:p w14:paraId="580BF47E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 des équipes médicales et paramédicales dans l’évolution des organisations de soins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soutenant les projets de transformation et d’adaptation des pratiques professionnelles.</w:t>
      </w:r>
    </w:p>
    <w:p w14:paraId="5DAF654E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Appui au pôle Enfant et Adolescent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dans ses évolutions organisationnelles et médicales, en accompagnant les dynamiques de transformation.</w:t>
      </w:r>
    </w:p>
    <w:p w14:paraId="2CCE51E1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Poursuite et renforcement de la politique d’égalité professionnelle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avec le renouvellement du </w:t>
      </w: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Label Égalité Professionnelle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 2026.</w:t>
      </w:r>
    </w:p>
    <w:p w14:paraId="0227F7D6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Déploiement d’une démarche d’engagement collectif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visant à fédérer les professionnels autour d’une dynamique institutionnelle partagée.</w:t>
      </w:r>
    </w:p>
    <w:p w14:paraId="525B9113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Coordination du conventionnement avec le FIPHFP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pour structurer la politique handicap de l’établissement et optimiser les dispositifs d’accompagnement.</w:t>
      </w:r>
    </w:p>
    <w:p w14:paraId="1DD978EC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Évaluation et actualisation des Lignes Directrices de Gestion (LDG)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en matière de carrières et de stratégie RH à l’horizon 2026.</w:t>
      </w:r>
    </w:p>
    <w:p w14:paraId="3B00B93F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Formalisation du projet médico-soignant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 PCME et le directeur des soins, pour garantir une cohérence entre les dimensions médicales et soignantes.</w:t>
      </w:r>
    </w:p>
    <w:p w14:paraId="25CF729D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 des projets médicaux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les responsables médicaux, notamment pour les réponses aux appels à projets.</w:t>
      </w:r>
    </w:p>
    <w:p w14:paraId="226CCAE0" w14:textId="77777777" w:rsidR="00777003" w:rsidRPr="00777003" w:rsidRDefault="00777003" w:rsidP="003830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7700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Participation active aux travaux du PTSM</w:t>
      </w:r>
      <w:r w:rsidRPr="0077700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lien avec les orientations stratégiques de l’établissement et du territoire de santé mentale.</w:t>
      </w:r>
    </w:p>
    <w:p w14:paraId="0B75E318" w14:textId="77777777" w:rsidR="002A2B8B" w:rsidRDefault="002A2B8B" w:rsidP="00603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FE5D250" w14:textId="08063689" w:rsidR="000F2EE1" w:rsidRDefault="000F2EE1" w:rsidP="00603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0542E26" w14:textId="67A47539" w:rsidR="0003345A" w:rsidRPr="00A7549F" w:rsidRDefault="00603761" w:rsidP="003830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 xml:space="preserve">5. </w:t>
      </w:r>
      <w:r w:rsidRPr="00A75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Profil souhaité du candidat</w:t>
      </w:r>
      <w:r w:rsidR="0003345A" w:rsidRPr="00A75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</w:p>
    <w:p w14:paraId="0EA037CB" w14:textId="4A55931E" w:rsidR="00603761" w:rsidRPr="00A7549F" w:rsidRDefault="00603761" w:rsidP="0060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Formation et expérience</w:t>
      </w:r>
    </w:p>
    <w:p w14:paraId="338928E9" w14:textId="77777777" w:rsidR="00603761" w:rsidRPr="00A7549F" w:rsidRDefault="00603761" w:rsidP="00383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Diplôme de l’EHESP, Master 2 en gestion hospitalière, RH, droit public ou équivalent.</w:t>
      </w:r>
    </w:p>
    <w:p w14:paraId="2FF33508" w14:textId="77777777" w:rsidR="00603761" w:rsidRPr="00A7549F" w:rsidRDefault="00603761" w:rsidP="003830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Expérience confirmée en gestion des ressources humaines hospitalières et/ou des affaires médicales.</w:t>
      </w:r>
    </w:p>
    <w:p w14:paraId="20464B33" w14:textId="3A1E1444" w:rsidR="00603761" w:rsidRPr="00A7549F" w:rsidRDefault="00603761" w:rsidP="0060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Compétences requises</w:t>
      </w:r>
    </w:p>
    <w:p w14:paraId="232E41BA" w14:textId="291E9313" w:rsidR="006074EE" w:rsidRPr="006074EE" w:rsidRDefault="006074EE" w:rsidP="0038304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Maîtrise du droit hospitalier et expertise en gestion des ressources humaines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tant médicales que non médicales.</w:t>
      </w:r>
    </w:p>
    <w:p w14:paraId="409C4FE4" w14:textId="0F4BAAC2" w:rsidR="006074EE" w:rsidRPr="006074EE" w:rsidRDefault="006074EE" w:rsidP="0038304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Expérience avérée en dialogue social et conduite de négociations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dans un contexte hospitalier.</w:t>
      </w:r>
    </w:p>
    <w:p w14:paraId="47B1B711" w14:textId="21BF8931" w:rsidR="006074EE" w:rsidRPr="006074EE" w:rsidRDefault="006074EE" w:rsidP="0038304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Pratique de la contractualisation avec les pôles et de la délégation de gestion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avec un accompagnement des équipes dans la mise en œuvre.</w:t>
      </w:r>
    </w:p>
    <w:p w14:paraId="07C8EDD5" w14:textId="4F1AC627" w:rsidR="006074EE" w:rsidRPr="006074EE" w:rsidRDefault="006074EE" w:rsidP="0038304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Compétences en gestion budgétaire et en contrôle de gestion sociale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garantissant une allocation optimale des ressources.</w:t>
      </w:r>
    </w:p>
    <w:p w14:paraId="4258B203" w14:textId="3AE8702B" w:rsidR="006074EE" w:rsidRPr="006074EE" w:rsidRDefault="006074EE" w:rsidP="0038304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Expertise en conduite de projet et </w:t>
      </w:r>
      <w:r w:rsidR="003830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accompagnement</w:t>
      </w: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du changement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appliquée aux transformations organisationnelles et RH.</w:t>
      </w:r>
    </w:p>
    <w:p w14:paraId="65DC80C4" w14:textId="695AD9DA" w:rsidR="006074EE" w:rsidRDefault="006074EE" w:rsidP="00383041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074E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Leadership affirmé, diplomatie et capacité à fédérer des équipes pluridisciplinaires</w:t>
      </w:r>
      <w:r w:rsidRPr="006074E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en favorisant l’adhésion aux orientations stratégiques.</w:t>
      </w:r>
    </w:p>
    <w:p w14:paraId="31EACAFD" w14:textId="6A1FED39" w:rsidR="0003345A" w:rsidRPr="00A7549F" w:rsidRDefault="0003345A" w:rsidP="006074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A75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6. </w:t>
      </w:r>
      <w:r w:rsidRPr="00A75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>Conditions particulières d’exercice</w:t>
      </w:r>
    </w:p>
    <w:p w14:paraId="3BE2D57D" w14:textId="25A3EEA8" w:rsidR="006F644F" w:rsidRPr="006F644F" w:rsidRDefault="006F644F" w:rsidP="0038304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Poste stratégique à haute responsabilité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impliquant une </w:t>
      </w: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interaction permanente avec la gouvernance hospitalière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les partenaires institutionnels.</w:t>
      </w:r>
    </w:p>
    <w:p w14:paraId="0824ED43" w14:textId="7408DCB1" w:rsidR="006F644F" w:rsidRPr="006F644F" w:rsidRDefault="006F644F" w:rsidP="0038304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Participation aux astreintes de direction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nécessitant une disponibilité accrue.</w:t>
      </w:r>
    </w:p>
    <w:p w14:paraId="0BAED672" w14:textId="79526399" w:rsidR="006F644F" w:rsidRPr="006F644F" w:rsidRDefault="006F644F" w:rsidP="0038304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Possibilité de logement de fonction ou attribution d’une indemnité compensatrice de logement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4D65823E" w14:textId="1EA90D34" w:rsidR="006F644F" w:rsidRPr="006F644F" w:rsidRDefault="006F644F" w:rsidP="0038304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Déplacements fréquents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dans le cadre des </w:t>
      </w: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coopérations territoriales et des projets stratégiques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75E00060" w14:textId="0F8EA7BE" w:rsidR="000C35B3" w:rsidRPr="006F644F" w:rsidRDefault="006F644F" w:rsidP="00383041">
      <w:pPr>
        <w:pStyle w:val="Paragraphedeliste"/>
        <w:numPr>
          <w:ilvl w:val="0"/>
          <w:numId w:val="10"/>
        </w:numPr>
        <w:jc w:val="both"/>
        <w:rPr>
          <w:sz w:val="20"/>
          <w:szCs w:val="20"/>
        </w:rPr>
      </w:pP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Environnement en pleine évolution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nécessitant une </w:t>
      </w:r>
      <w:r w:rsidRPr="006F644F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capacité d’adaptation rapide et une approche proactive</w:t>
      </w:r>
      <w:r w:rsidRPr="006F644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face aux transformations institutionnelles et organisationnelles.</w:t>
      </w:r>
    </w:p>
    <w:sectPr w:rsidR="000C35B3" w:rsidRPr="006F644F" w:rsidSect="00466351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0B9AA" w14:textId="77777777" w:rsidR="00714B43" w:rsidRDefault="00714B43" w:rsidP="00A7549F">
      <w:pPr>
        <w:spacing w:after="0" w:line="240" w:lineRule="auto"/>
      </w:pPr>
      <w:r>
        <w:separator/>
      </w:r>
    </w:p>
  </w:endnote>
  <w:endnote w:type="continuationSeparator" w:id="0">
    <w:p w14:paraId="68CB283B" w14:textId="77777777" w:rsidR="00714B43" w:rsidRDefault="00714B43" w:rsidP="00A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044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3AAD1AE" w14:textId="4EA2B68F" w:rsidR="00A7549F" w:rsidRPr="00A7549F" w:rsidRDefault="00A7549F">
        <w:pPr>
          <w:pStyle w:val="Pieddepag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7549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7549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7549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7458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7549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363B448" w14:textId="77777777" w:rsidR="00A7549F" w:rsidRDefault="00A754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0B4B" w14:textId="77777777" w:rsidR="00714B43" w:rsidRDefault="00714B43" w:rsidP="00A7549F">
      <w:pPr>
        <w:spacing w:after="0" w:line="240" w:lineRule="auto"/>
      </w:pPr>
      <w:r>
        <w:separator/>
      </w:r>
    </w:p>
  </w:footnote>
  <w:footnote w:type="continuationSeparator" w:id="0">
    <w:p w14:paraId="79C2305A" w14:textId="77777777" w:rsidR="00714B43" w:rsidRDefault="00714B43" w:rsidP="00A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CFF8" w14:textId="3E0277BE" w:rsidR="00466351" w:rsidRDefault="00466351">
    <w:pPr>
      <w:pStyle w:val="En-tte"/>
    </w:pPr>
  </w:p>
  <w:p w14:paraId="56336CE4" w14:textId="77777777" w:rsidR="00466351" w:rsidRDefault="004663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BEC9" w14:textId="2C09981D" w:rsidR="00466351" w:rsidRDefault="0046635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2BB4FA" wp14:editId="73B9EB86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949960" cy="876300"/>
          <wp:effectExtent l="0" t="0" r="2540" b="0"/>
          <wp:wrapTight wrapText="bothSides">
            <wp:wrapPolygon edited="0">
              <wp:start x="0" y="0"/>
              <wp:lineTo x="0" y="21130"/>
              <wp:lineTo x="21225" y="21130"/>
              <wp:lineTo x="21225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99615A7" wp14:editId="3F7B3DD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93775" cy="786765"/>
          <wp:effectExtent l="0" t="0" r="0" b="0"/>
          <wp:wrapTight wrapText="bothSides">
            <wp:wrapPolygon edited="0">
              <wp:start x="0" y="0"/>
              <wp:lineTo x="0" y="20920"/>
              <wp:lineTo x="21117" y="20920"/>
              <wp:lineTo x="21117" y="0"/>
              <wp:lineTo x="0" y="0"/>
            </wp:wrapPolygon>
          </wp:wrapTight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4513A554" wp14:editId="6023F83F">
          <wp:extent cx="1115695" cy="926465"/>
          <wp:effectExtent l="0" t="0" r="8255" b="698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67DC9F" w14:textId="77777777" w:rsidR="00466351" w:rsidRDefault="004663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D02"/>
    <w:multiLevelType w:val="multilevel"/>
    <w:tmpl w:val="D86E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77F7"/>
    <w:multiLevelType w:val="multilevel"/>
    <w:tmpl w:val="0A9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142BE"/>
    <w:multiLevelType w:val="hybridMultilevel"/>
    <w:tmpl w:val="8D08F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FB0"/>
    <w:multiLevelType w:val="hybridMultilevel"/>
    <w:tmpl w:val="E7B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37DF"/>
    <w:multiLevelType w:val="hybridMultilevel"/>
    <w:tmpl w:val="3D881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F3D"/>
    <w:multiLevelType w:val="multilevel"/>
    <w:tmpl w:val="264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5851"/>
    <w:multiLevelType w:val="multilevel"/>
    <w:tmpl w:val="C8F6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15A4A"/>
    <w:multiLevelType w:val="multilevel"/>
    <w:tmpl w:val="122C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07EBC"/>
    <w:multiLevelType w:val="hybridMultilevel"/>
    <w:tmpl w:val="AA8E7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2DC7"/>
    <w:multiLevelType w:val="hybridMultilevel"/>
    <w:tmpl w:val="DB2A9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3E47"/>
    <w:multiLevelType w:val="hybridMultilevel"/>
    <w:tmpl w:val="D79C3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936FD"/>
    <w:multiLevelType w:val="multilevel"/>
    <w:tmpl w:val="73A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348DF"/>
    <w:multiLevelType w:val="multilevel"/>
    <w:tmpl w:val="C6B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64615"/>
    <w:multiLevelType w:val="multilevel"/>
    <w:tmpl w:val="C38E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E337D"/>
    <w:multiLevelType w:val="hybridMultilevel"/>
    <w:tmpl w:val="EEDC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43EB0"/>
    <w:multiLevelType w:val="multilevel"/>
    <w:tmpl w:val="3B6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97F1F"/>
    <w:multiLevelType w:val="hybridMultilevel"/>
    <w:tmpl w:val="CDAE0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A21B8"/>
    <w:multiLevelType w:val="multilevel"/>
    <w:tmpl w:val="7E2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17A68"/>
    <w:multiLevelType w:val="multilevel"/>
    <w:tmpl w:val="815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5647"/>
    <w:multiLevelType w:val="multilevel"/>
    <w:tmpl w:val="413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5581B"/>
    <w:multiLevelType w:val="multilevel"/>
    <w:tmpl w:val="BC84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583995">
    <w:abstractNumId w:val="7"/>
  </w:num>
  <w:num w:numId="2" w16cid:durableId="1981033332">
    <w:abstractNumId w:val="13"/>
  </w:num>
  <w:num w:numId="3" w16cid:durableId="382871132">
    <w:abstractNumId w:val="15"/>
  </w:num>
  <w:num w:numId="4" w16cid:durableId="2128354425">
    <w:abstractNumId w:val="16"/>
  </w:num>
  <w:num w:numId="5" w16cid:durableId="1904024321">
    <w:abstractNumId w:val="9"/>
  </w:num>
  <w:num w:numId="6" w16cid:durableId="898977932">
    <w:abstractNumId w:val="10"/>
  </w:num>
  <w:num w:numId="7" w16cid:durableId="671877297">
    <w:abstractNumId w:val="12"/>
  </w:num>
  <w:num w:numId="8" w16cid:durableId="410010143">
    <w:abstractNumId w:val="6"/>
  </w:num>
  <w:num w:numId="9" w16cid:durableId="844396360">
    <w:abstractNumId w:val="2"/>
  </w:num>
  <w:num w:numId="10" w16cid:durableId="356321654">
    <w:abstractNumId w:val="8"/>
  </w:num>
  <w:num w:numId="11" w16cid:durableId="1154300389">
    <w:abstractNumId w:val="3"/>
  </w:num>
  <w:num w:numId="12" w16cid:durableId="1225481891">
    <w:abstractNumId w:val="19"/>
  </w:num>
  <w:num w:numId="13" w16cid:durableId="1963532812">
    <w:abstractNumId w:val="14"/>
  </w:num>
  <w:num w:numId="14" w16cid:durableId="1521581543">
    <w:abstractNumId w:val="4"/>
  </w:num>
  <w:num w:numId="15" w16cid:durableId="1490907646">
    <w:abstractNumId w:val="11"/>
  </w:num>
  <w:num w:numId="16" w16cid:durableId="1922984132">
    <w:abstractNumId w:val="1"/>
  </w:num>
  <w:num w:numId="17" w16cid:durableId="1274704477">
    <w:abstractNumId w:val="5"/>
  </w:num>
  <w:num w:numId="18" w16cid:durableId="9642858">
    <w:abstractNumId w:val="20"/>
  </w:num>
  <w:num w:numId="19" w16cid:durableId="672146544">
    <w:abstractNumId w:val="17"/>
  </w:num>
  <w:num w:numId="20" w16cid:durableId="380784565">
    <w:abstractNumId w:val="18"/>
  </w:num>
  <w:num w:numId="21" w16cid:durableId="14879391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51"/>
    <w:rsid w:val="0003345A"/>
    <w:rsid w:val="000C35B3"/>
    <w:rsid w:val="000D32BE"/>
    <w:rsid w:val="000D63D0"/>
    <w:rsid w:val="000F2EE1"/>
    <w:rsid w:val="00150502"/>
    <w:rsid w:val="001660B5"/>
    <w:rsid w:val="00166D44"/>
    <w:rsid w:val="001B7BF7"/>
    <w:rsid w:val="001D2D5F"/>
    <w:rsid w:val="001D5197"/>
    <w:rsid w:val="001E72E7"/>
    <w:rsid w:val="002A2B8B"/>
    <w:rsid w:val="00316EF4"/>
    <w:rsid w:val="00356BB6"/>
    <w:rsid w:val="00381D76"/>
    <w:rsid w:val="00383041"/>
    <w:rsid w:val="004149DC"/>
    <w:rsid w:val="00436791"/>
    <w:rsid w:val="00466351"/>
    <w:rsid w:val="00517FF9"/>
    <w:rsid w:val="005E5E81"/>
    <w:rsid w:val="00603761"/>
    <w:rsid w:val="006074EE"/>
    <w:rsid w:val="00657ECB"/>
    <w:rsid w:val="006F644F"/>
    <w:rsid w:val="00714B43"/>
    <w:rsid w:val="00726379"/>
    <w:rsid w:val="0073012A"/>
    <w:rsid w:val="00741816"/>
    <w:rsid w:val="0075458B"/>
    <w:rsid w:val="00777003"/>
    <w:rsid w:val="007A7051"/>
    <w:rsid w:val="007F315F"/>
    <w:rsid w:val="00840640"/>
    <w:rsid w:val="0088397C"/>
    <w:rsid w:val="008D51B7"/>
    <w:rsid w:val="009668F9"/>
    <w:rsid w:val="009A4995"/>
    <w:rsid w:val="009B618F"/>
    <w:rsid w:val="009D5CD3"/>
    <w:rsid w:val="00A35635"/>
    <w:rsid w:val="00A7549F"/>
    <w:rsid w:val="00A84B54"/>
    <w:rsid w:val="00B558FA"/>
    <w:rsid w:val="00B606EB"/>
    <w:rsid w:val="00B809DD"/>
    <w:rsid w:val="00BE5454"/>
    <w:rsid w:val="00BF7C07"/>
    <w:rsid w:val="00C66123"/>
    <w:rsid w:val="00C77D61"/>
    <w:rsid w:val="00CB3348"/>
    <w:rsid w:val="00CF02EB"/>
    <w:rsid w:val="00D2647A"/>
    <w:rsid w:val="00D870F4"/>
    <w:rsid w:val="00DA7B60"/>
    <w:rsid w:val="00DC02FA"/>
    <w:rsid w:val="00DC28F3"/>
    <w:rsid w:val="00E10B53"/>
    <w:rsid w:val="00E803B3"/>
    <w:rsid w:val="00E80D41"/>
    <w:rsid w:val="00E91F38"/>
    <w:rsid w:val="00F74586"/>
    <w:rsid w:val="00F933D4"/>
    <w:rsid w:val="00F97F11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C0A67"/>
  <w15:chartTrackingRefBased/>
  <w15:docId w15:val="{0E640382-299E-4C5D-B22F-BF2E02F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7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7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7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7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7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7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70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70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70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70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70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70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7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7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70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70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70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7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70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705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49F"/>
  </w:style>
  <w:style w:type="paragraph" w:styleId="Pieddepage">
    <w:name w:val="footer"/>
    <w:basedOn w:val="Normal"/>
    <w:link w:val="PieddepageCar"/>
    <w:uiPriority w:val="99"/>
    <w:unhideWhenUsed/>
    <w:rsid w:val="00A75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49F"/>
  </w:style>
  <w:style w:type="character" w:styleId="lev">
    <w:name w:val="Strong"/>
    <w:basedOn w:val="Policepardfaut"/>
    <w:uiPriority w:val="22"/>
    <w:qFormat/>
    <w:rsid w:val="00B80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Razoux</dc:creator>
  <cp:keywords/>
  <dc:description/>
  <cp:lastModifiedBy>Philippe GUINARD</cp:lastModifiedBy>
  <cp:revision>2</cp:revision>
  <cp:lastPrinted>2025-02-24T11:29:00Z</cp:lastPrinted>
  <dcterms:created xsi:type="dcterms:W3CDTF">2025-02-25T16:42:00Z</dcterms:created>
  <dcterms:modified xsi:type="dcterms:W3CDTF">2025-02-25T16:42:00Z</dcterms:modified>
</cp:coreProperties>
</file>